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Arial" w:hAnsi="Arial"/>
          <w:b/>
          <w:color w:val="000000"/>
          <w:sz w:val="30"/>
        </w:rPr>
        <w:t>ЗАДАНИЕ № 1</w:t>
      </w:r>
    </w:p>
    <w:p>
      <w:pPr>
        <w:widowControl/>
        <w:jc w:val="center"/>
      </w:pPr>
      <w:r>
        <w:rPr>
          <w:rFonts w:ascii="Arial" w:hAnsi="Arial"/>
          <w:color w:val="000000"/>
          <w:sz w:val="21"/>
        </w:rPr>
        <w:t>к Рамочному договору № ______ от «___» _________ 20__ г.</w:t>
      </w:r>
    </w:p>
    <w:p>
      <w:pPr>
        <w:widowControl/>
        <w:jc w:val="center"/>
      </w:pPr>
      <w:r>
        <w:rPr>
          <w:rFonts w:ascii="Arial" w:hAnsi="Arial"/>
          <w:b/>
          <w:color w:val="000000"/>
          <w:sz w:val="23"/>
        </w:rPr>
        <w:t>КОМПЛЕКСНАЯ ДИАГНОСТИКА КОММЕРЧЕСКОЙ СИСТЕМЫ</w:t>
      </w:r>
    </w:p>
    <w:p>
      <w:pPr/>
      <w:r>
        <w:rPr>
          <w:color w:val="000000"/>
          <w:sz w:val="21"/>
        </w:rPr>
        <w:t>Настоящее Задание является неотъемлемой частью Рамочного договора выполнения работ и оказания услуг № ____ от «___» __________ 20__ г. В части, не урегулированной настоящим Заданием, применяются условия Рамочного договора. В случае противоречия между условиями настоящего Задания и Рамочного договора применительно к соответствующим Работам и/или Услугам применяются условия настоящего Задания.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Настоящее Задание определяет специальные условия проекта и является неотъемлемой частью Рамочного договора. Термины с заглавной буквы имеют значение, установленное Договором.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1. ЦЕЛЬ И ПРЕДМЕТ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1.1. Исполнитель оказывает Заказчику консультационно-аналитические услуги по комплексной диагностике коммерческой системы бизнеса с целью выявления ограничений роста, зон потери выручки, маржи и управляемости, а также формирования приоритетных проверяемых гипотез и рекомендаций.</w:t>
      </w:r>
    </w:p>
    <w:p>
      <w:pPr>
        <w:keepLines w:val="0"/>
        <w:widowControl/>
      </w:pPr>
      <w:r>
        <w:rPr>
          <w:color w:val="000000"/>
          <w:sz w:val="21"/>
        </w:rPr>
        <w:t>1.2. Диагностика не является обязательным аудитом бухгалтерской (финансовой) отчетности, юридической, налоговой, инвестиционной или иной регулируемой экспертизой и не содержит гарантии достижения финансового результата. Выводы формируются для целей управленческого анализа и не заменяют заключения профильных лицензируемых или регулируемых специалистов.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2. КОНТУР ДИАГНОСТИКИ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Бизнес-модель, цели собственника и коммерческая стратегия.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Продукт, предложение, ценообразование и маржинальность.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Маркетинг, источники спроса, экономика привлечения и качество трафика.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Продажи: воронка, конверсии, скорость обработки, качество работы менеджеров и причины потерь.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Клиентская база, повторные продажи, реактивация, LTV и партнерские каналы.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Команда, роли, ответственность, KPI, мотивация и управленческий ритм.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CRM, автоматизация, качество данных, регламенты и контроль процессов.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Коммерческая аналитика, план-факт, unit-экономика и управленческие показатели.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Проверка ключевых гипотез финансовых потерь и точек роста.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3. ЭТАПЫ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2304"/>
        <w:gridCol w:w="6264"/>
      </w:tblGrid>
      <w:tr>
        <w:tc>
          <w:tcPr>
            <w:tcW w:type="dxa" w:w="792"/>
            <w:shd w:fill="17365D"/>
            <w:vAlign w:val="center"/>
          </w:tcPr>
          <w:p>
            <w:r>
              <w:rPr>
                <w:rFonts w:ascii="Arial" w:hAnsi="Arial"/>
                <w:b/>
                <w:color w:val="FFFFFF"/>
                <w:sz w:val="21"/>
              </w:rPr>
              <w:t>Этап</w:t>
            </w:r>
          </w:p>
        </w:tc>
        <w:tc>
          <w:tcPr>
            <w:tcW w:type="dxa" w:w="2304"/>
            <w:shd w:fill="17365D"/>
            <w:vAlign w:val="center"/>
          </w:tcPr>
          <w:p>
            <w:r>
              <w:rPr>
                <w:rFonts w:ascii="Arial" w:hAnsi="Arial"/>
                <w:b/>
                <w:color w:val="FFFFFF"/>
                <w:sz w:val="21"/>
              </w:rPr>
              <w:t>Наименование</w:t>
            </w:r>
          </w:p>
        </w:tc>
        <w:tc>
          <w:tcPr>
            <w:tcW w:type="dxa" w:w="6264"/>
            <w:shd w:fill="17365D"/>
            <w:vAlign w:val="center"/>
          </w:tcPr>
          <w:p>
            <w:r>
              <w:rPr>
                <w:rFonts w:ascii="Arial" w:hAnsi="Arial"/>
                <w:b/>
                <w:color w:val="FFFFFF"/>
                <w:sz w:val="21"/>
              </w:rPr>
              <w:t>Содержание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1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Подготовка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Согласование целей, участников, перечня исходных данных и доступа к системам.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2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Стратегическая диагностическая сессия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Интервью с собственником и/или ключевыми руководителями по методологии Исполнителя.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3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Анализ и верификация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Изучение CRM, отчетности, маркетинговых данных, финансовых показателей, выборочных коммуникаций и иных согласованных материалов.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4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Диагностическая модель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Оценка зрелости, фиксация разрывов, рисков, противоречий и проверяемых гипотез.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5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Финансовая оценка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Расчет предварительного или подтвержденного эффекта по тем зонам, где качество данных позволяет выполнить расчет.</w:t>
            </w:r>
          </w:p>
        </w:tc>
      </w:tr>
      <w:tr>
        <w:tc>
          <w:tcPr>
            <w:tcW w:type="dxa" w:w="79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6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Итоговая сессия</w:t>
            </w:r>
          </w:p>
        </w:tc>
        <w:tc>
          <w:tcPr>
            <w:tcW w:type="dxa" w:w="62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rFonts w:ascii="Arial" w:hAnsi="Arial"/>
                <w:color w:val="000000"/>
                <w:sz w:val="21"/>
              </w:rPr>
              <w:t>Презентация выводов, приоритетов и рекомендуемого плана действий.</w:t>
            </w:r>
          </w:p>
        </w:tc>
      </w:tr>
    </w:tbl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4. ИСХОДНЫЕ ДАННЫЕ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4.1. В зависимости от доступности и применимости Заказчик предоставляет в согласованном формате данные за период, достаточный для анализа, в том числе: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выгрузки CRM и описание стадий воронки;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план-факт продаж, выручку, маржу, средний чек и данные по менеджерам;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данные по лидам, источникам, CPL/CAC/ROMI и рекламным расходам;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P&amp;L/управленческую отчетность в части, необходимой для коммерческого анализа;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клиентскую базу и данные о повторных продажах;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регламенты, KPI, мотивацию и оргструктуру;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выборку звонков/переписок и материалы продаж;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доступы или выгрузки из аналитических и рекламных систем.</w:t>
      </w:r>
    </w:p>
    <w:p>
      <w:pPr>
        <w:keepLines w:val="0"/>
        <w:widowControl/>
      </w:pPr>
      <w:r>
        <w:rPr>
          <w:color w:val="000000"/>
          <w:sz w:val="21"/>
        </w:rPr>
        <w:t>4.2. Фактический перечень определяется применимостью к бизнесу Заказчика. Отсутствие части данных, ограничение доступа, невозможность проверить их происхождение или противоречия между источниками могут ограничить глубину выводов и точность финансовой оценки и фиксируются Исполнителем в итоговых материалах. Исполнитель вправе не использовать сведения, достоверность которых вызывает обоснованные сомнения, либо маркировать выводы на их основе как неподтвержденные.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5. РЕЗУЛЬТАТ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5.1. По завершении проекта Исполнитель передает Заказчику следующий комплект результатов в объеме, применимом к согласованному контуру диагностики: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итоговый диагностический отчет и/или презентацию;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карту состояния коммерческой системы и оценку ключевых зон;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перечень выявленных разрывов и рисков с приоритетами;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перечень подтвержденных, частично подтвержденных и непроверенных гипотез финансовых потерь и точек роста;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рекомендации по маркетингу, продажам, CRM, клиентской базе, аналитике и управлению;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маршрут дальнейшей проверки зон, по которым данных недостаточно;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план приоритетных действий на 30/60/90 дней;</w:t>
      </w:r>
    </w:p>
    <w:p>
      <w:pPr>
        <w:pStyle w:val="ListBullet"/>
        <w:widowControl/>
        <w:spacing w:after="20"/>
        <w:ind w:left="255" w:hanging="113"/>
      </w:pPr>
      <w:r>
        <w:rPr>
          <w:rFonts w:ascii="Arial" w:hAnsi="Arial"/>
          <w:color w:val="000000"/>
          <w:sz w:val="21"/>
        </w:rPr>
        <w:t>одну итоговую встречу с Заказчиком для презентации результатов и ответов на вопросы по переданным материалам.</w:t>
      </w:r>
    </w:p>
    <w:p>
      <w:pPr>
        <w:keepLines w:val="0"/>
        <w:widowControl/>
      </w:pPr>
      <w:r>
        <w:rPr>
          <w:color w:val="000000"/>
          <w:sz w:val="21"/>
        </w:rPr>
        <w:t>5.2. Конкретная глубина каждого раздела определяется фактической применимостью к бизнесу Заказчика, наличием и качеством исходных данных. Отсутствие количественной финансовой оценки по отдельной зоне по причине недостаточности данных не является непередачей результата, если соответствующее ограничение обозначено Исполнителем. Рекомендации не являются гарантией их экономического эффекта и требуют самостоятельного управленческого решения Заказчика о внедрении.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5.3. Исходные анкеты, внутренние скоринговые модели, расчетные шаблоны, служебные заметки и иные внутренние инструменты Исполнителя в состав передаваемого результата не входят, если Стороны прямо не согласовали иное.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6. СРОКИ И УЧАСТИЕ ЗАКАЗЧИКА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6.1. Плановый срок проекта: ____ (__________) рабочих дней с даты одновременного выполнения следующих условий: подписания Задания, поступления 100% оплаты и предоставления минимально необходимого набора исходных данных.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6.2. Плановая дата начала: ____________. Плановая дата завершения: ____________. Даты корректируются при задержках Заказчика и иных предусмотренных Договором обстоятельствах.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6.3. Контактное лицо Заказчика: ______________________, e-mail/тел.: ______________________.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6.4. Согласованные адреса электронной почты Сторон для юридически значимого обмена в рамках Задания: Исполнитель — ______________________; Заказчик — ______________________.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7. СТОИМОСТЬ И ОПЛАТА</w:t>
      </w:r>
    </w:p>
    <w:p>
      <w:pPr>
        <w:keepLines w:val="0"/>
        <w:widowControl/>
      </w:pPr>
      <w:r>
        <w:rPr>
          <w:color w:val="000000"/>
          <w:sz w:val="21"/>
        </w:rPr>
        <w:t>7.1. Согласованная цена услуг по Заданию без НДС: ____________ (__________________) рублей. На дату подписания настоящего Задания НДС Заказчику не предъявляется в связи с применяемым Исполнителем освобождением. При возникновении у Исполнителя обязанности по исчислению и предъявлению НДС согласованная цена без НДС сохраняется, а НДС начисляется дополнительно сверх указанной цены в порядке, установленном пп. 5.5–5.8 Договора.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7.2. Оплата производится в размере 100% стоимости Задания в течение ____ (__________) рабочих дней с даты выставления счета. Исполнитель вправе не приступать к проекту до поступления оплаты в полном размере.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7.3. Дополнительные интервью, выезды, анализ дополнительных массивов данных, повторные сессии, новые периоды анализа и иные работы вне согласованного контура выполняются после отдельного согласования стоимости и сроков.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8. ПРИЕМКА</w:t>
      </w:r>
    </w:p>
    <w:p>
      <w:pPr>
        <w:keepLines w:val="0"/>
        <w:widowControl/>
      </w:pPr>
      <w:r>
        <w:rPr>
          <w:color w:val="000000"/>
          <w:sz w:val="21"/>
        </w:rPr>
        <w:t>8.1. Результат считается переданным в дату направления итоговых материалов на согласованный e-mail, через ЭДО, в согласованную систему проекта или облачное хранилище с уведомлением Заказчика либо в дату проведения итоговой сессии, если материалы переданы к такой сессии. Подтверждением передачи могут служить электронные сведения соответствующего канала связи.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8.2. Заказчик в течение 5 (пяти) рабочих дней подписывает акт либо направляет единый исчерпывающий мотивированный перечень несоответствий составу результата, установленному разделом 5. При отсутствии ответа применяется порядок приемки, установленный Договором.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8.3. Несогласие с экспертными выводами, оценкой зрелости, гипотезами, приоритетами или рекомендациями не является несоответствием результата условиям Задания.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9. СПЕЦИАЛЬНЫЕ ОГРАНИЧЕНИЯ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9.1. Исполнитель не проводит сплошную проверку каждой операции Заказчика, если это прямо не включено в Задание. Выводы могут основываться на выборках, интервью, выгрузках и аналитических процедурах.</w:t>
      </w:r>
    </w:p>
    <w:p>
      <w:pPr>
        <w:keepLines w:val="0"/>
        <w:widowControl/>
      </w:pPr>
      <w:r>
        <w:rPr>
          <w:color w:val="000000"/>
          <w:sz w:val="21"/>
        </w:rPr>
        <w:t>9.2. Финансовые оценки зависят от качества исходных данных и обозначаются как предварительные до достаточной верификации. Исполнитель не подтверждает бухгалтерскую достоверность исходных цифр, не проводит инвентаризацию активов и обязательств и не несет ответственности за скрытые или нераскрытые Заказчиком обстоятельства, которые не могли быть выявлены при согласованном объеме диагностики.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9.3. Внедрение рекомендаций, перестройка CRM, разработка, автоматизация, обучение персонала и сопровождение не входят в стоимость настоящего Задания и могут быть оформлены отдельными Заданиями.</w:t>
      </w:r>
    </w:p>
    <w:p>
      <w:pPr/>
      <w:r>
        <w:rPr>
          <w:color w:val="000000"/>
          <w:sz w:val="21"/>
        </w:rPr>
        <w:t>9.3.1. Заказчик по возможности предоставляет обезличенные или минимально необходимые для диагностики данные. Передача специальных категорий персональных данных, платежных реквизитов физических лиц, паролей, секретных ключей и иных избыточных сведений не требуется, если Стороны отдельно не согласовали необходимость и правовое основание такой обработки.</w:t>
      </w:r>
    </w:p>
    <w:p>
      <w:pPr>
        <w:keepLines w:val="0"/>
        <w:widowControl/>
      </w:pPr>
      <w:r>
        <w:rPr>
          <w:rFonts w:ascii="Arial" w:hAnsi="Arial"/>
          <w:color w:val="000000"/>
          <w:sz w:val="21"/>
        </w:rPr>
        <w:t>9.4. Публикация факта сотрудничества и наименования/логотипа Заказчика регулируется п. 10.5 Договора. Запрет на такое использование по настоящему Заданию: ☐ установлен  ☐ не установлен. При отсутствии отметки считается, что запрет не установлен.</w:t>
      </w:r>
    </w:p>
    <w:p>
      <w:pPr>
        <w:pStyle w:val="SectionHeading"/>
        <w:keepNext/>
        <w:keepLines w:val="0"/>
        <w:widowControl/>
      </w:pPr>
      <w:r>
        <w:rPr>
          <w:rFonts w:ascii="Arial" w:hAnsi="Arial"/>
          <w:color w:val="000000"/>
          <w:sz w:val="21"/>
        </w:rPr>
        <w:t>10.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cantSplit/>
        </w:trPr>
        <w:tc>
          <w:tcPr>
            <w:tcW w:type="dxa" w:w="5170"/>
            <w:tcMar>
              <w:top w:w="100" w:type="dxa"/>
              <w:start w:w="110" w:type="dxa"/>
              <w:bottom w:w="100" w:type="dxa"/>
              <w:end w:w="110" w:type="dxa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color w:val="000000"/>
                <w:sz w:val="18"/>
              </w:rPr>
              <w:t>ИСПОЛНИТЕЛЬ</w:t>
              <w:br/>
              <w:t>ИП Белый Владислав Максимович</w:t>
              <w:br/>
              <w:t>ОГРНИП 323774600178142</w:t>
              <w:br/>
              <w:t>ИНН 772333809099</w:t>
              <w:br/>
              <w:t>Адрес: __________________________</w:t>
              <w:br/>
              <w:t>р/с: ____________________________</w:t>
              <w:br/>
              <w:t>Банк: ___________________________</w:t>
              <w:br/>
              <w:t>БИК: ____________________________</w:t>
              <w:br/>
              <w:t>к/с: ____________________________</w:t>
              <w:br/>
              <w:br/>
              <w:t>________________ / В.М. Белый</w:t>
            </w:r>
          </w:p>
        </w:tc>
        <w:tc>
          <w:tcPr>
            <w:tcW w:type="dxa" w:w="5170"/>
            <w:tcMar>
              <w:top w:w="100" w:type="dxa"/>
              <w:start w:w="110" w:type="dxa"/>
              <w:bottom w:w="100" w:type="dxa"/>
              <w:end w:w="110" w:type="dxa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ЗАКАЗЧИК</w:t>
              <w:br/>
              <w:t>Наименование: __________________________</w:t>
              <w:br/>
              <w:t>ОГРН/ОГРНИП: __________________________</w:t>
              <w:br/>
              <w:t>ИНН/КПП: ______________________________</w:t>
              <w:br/>
              <w:t>Адрес: _________________________________</w:t>
              <w:br/>
              <w:t>р/с: ___________________________________</w:t>
              <w:br/>
              <w:t>Банк: __________________________________</w:t>
              <w:br/>
              <w:t>БИК: ___________________________________</w:t>
              <w:br/>
              <w:t>к/с: ___________________________________</w:t>
              <w:br/>
              <w:br/>
              <w:t>________________ / __________________</w:t>
            </w:r>
          </w:p>
        </w:tc>
      </w:tr>
    </w:tbl>
    <w:sectPr>
      <w:headerReference w:type="default" r:id="rId9"/>
      <w:footerReference w:type="default" r:id="rId10"/>
      <w:footerReference w:type="first" r:id="rId11"/>
      <w:footerReference w:type="even" r:id="rId12"/>
      <w:pgSz w:w="12240" w:h="15840"/>
      <w:pgMar w:top="822" w:right="907" w:bottom="76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5"/>
      </w:rPr>
      <w:t>IT WHITE  •  Задание № 1 • Комплексная диагностика коммерческой системы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000000"/>
        <w:sz w:val="17"/>
      </w:rPr>
      <w:t>IT WHITE  •  ОБРАЗЕЦ ДЛЯ ОЗНАКОМЛЕНИЯ  •  v1.1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b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keepNext/>
      <w:spacing w:before="100" w:after="50"/>
    </w:pPr>
    <w:rPr>
      <w:rFonts w:ascii="Arial" w:hAnsi="Arial"/>
      <w:b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WHITE — образец задания на диагностику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