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aa"/>
        <w:jc w:val="center"/>
      </w:pPr>
      <w:r>
        <w:rPr>
          <w:b/>
          <w:color w:val="000000"/>
          <w:sz w:val="30"/>
        </w:rPr>
        <w:t>РАМОЧНЫЙ ДОГОВОР № ______</w:t>
      </w:r>
    </w:p>
    <w:p>
      <w:pPr>
        <w:jc w:val="center"/>
      </w:pPr>
      <w:r>
        <w:rPr>
          <w:b/>
          <w:color w:val="000000"/>
          <w:sz w:val="21"/>
        </w:rPr>
        <w:t>выполнения работ и оказания услуг</w:t>
      </w:r>
    </w:p>
    <w:tbl>
      <w:tblPr>
        <w:tblW w:w="0" w:type="auto"/>
        <w:jc w:val="center"/>
        <w:tblLayout w:type="fixed"/>
        <w:tblLook w:val="04A0" w:firstRow="1" w:lastRow="0" w:firstColumn="1" w:lastColumn="0" w:noHBand="0" w:noVBand="1"/>
      </w:tblPr>
      <w:tblGrid>
        <w:gridCol w:w="5170"/>
        <w:gridCol w:w="5170"/>
      </w:tblGrid>
      <w:tr>
        <w:trPr>
          <w:jc w:val="center"/>
          <w:cantSplit/>
        </w:trPr>
        <w:tc>
          <w:tcPr>
            <w:tcW w:w="5170" w:type="dxa"/>
            <w:tcMar>
              <w:top w:w="20" w:type="dxa"/>
              <w:left w:w="20" w:type="dxa"/>
              <w:bottom w:w="20" w:type="dxa"/>
              <w:right w:w="20" w:type="dxa"/>
            </w:tcMar>
          </w:tcPr>
          <w:p>
            <w:pPr>
              <w:spacing w:after="0" w:before="0" w:line="240" w:lineRule="auto"/>
            </w:pPr>
            <w:r>
              <w:rPr>
                <w:color w:val="000000"/>
                <w:sz w:val="18"/>
              </w:rPr>
              <w:t>г. Москва</w:t>
            </w:r>
          </w:p>
        </w:tc>
        <w:tc>
          <w:tcPr>
            <w:tcW w:w="5170" w:type="dxa"/>
            <w:tcMar>
              <w:top w:w="20" w:type="dxa"/>
              <w:left w:w="20" w:type="dxa"/>
              <w:bottom w:w="20" w:type="dxa"/>
              <w:right w:w="20" w:type="dxa"/>
            </w:tcMar>
          </w:tcPr>
          <w:p>
            <w:pPr>
              <w:spacing w:after="0" w:before="0" w:line="240" w:lineRule="auto"/>
              <w:jc w:val="right"/>
            </w:pPr>
            <w:r>
              <w:rPr>
                <w:color w:val="000000"/>
                <w:sz w:val="18"/>
              </w:rPr>
              <w:t>«___» __________ 20__ г.</w:t>
            </w:r>
          </w:p>
        </w:tc>
      </w:tr>
    </w:tbl>
    <w:p>
      <w:r>
        <w:rPr>
          <w:color w:val="000000"/>
          <w:sz w:val="21"/>
        </w:rPr>
        <w:t>Индивидуальный предприниматель Белый Владислав Максимович, ОГРНИП 323774600178142, ИНН 772333809099, именуемый в дальнейшем «Исполнитель», с одной стороны, и ________________________________, именуемое в дальнейшем «Заказчик», в лице ________________________________, действующего на основании ____________________, с другой стороны, совместно именуемые «Стороны», заключили настоящий рамочный договор (далее — «Договор») о нижеследующем.</w:t>
      </w:r>
    </w:p>
    <w:p>
      <w:pPr>
        <w:pStyle w:val="SectionHeading"/>
        <w:keepNext/>
      </w:pPr>
      <w:r>
        <w:rPr>
          <w:color w:val="000000"/>
          <w:sz w:val="21"/>
        </w:rPr>
        <w:t>1. ТЕРМИНЫ И МОДЕЛЬ РАБОТЫ</w:t>
      </w:r>
    </w:p>
    <w:p>
      <w:r>
        <w:rPr>
          <w:color w:val="000000"/>
          <w:sz w:val="21"/>
        </w:rPr>
        <w:t>1.1. Договор определяет общие условия взаимоотношений Сторон. Конкретный предмет, состав, объем, этапы, сроки, стоимость, порядок оплаты, требования к результату и иные специальные условия каждого проекта определяются в подписываемом Сторонами Задании, спецификации, заказе или ином документе, прямо ссылающемся на настоящий Договор (далее — «Задание»).</w:t>
      </w:r>
    </w:p>
    <w:p>
      <w:r>
        <w:rPr>
          <w:color w:val="000000"/>
          <w:sz w:val="21"/>
        </w:rPr>
        <w:t>1.2. В рамках Заданий Исполнитель может оказывать консультационные, аналитические, информационные, технологические и иные услуги, а также выполнять работы по обследованию, проектированию, разработке, настройке, интеграции, внедрению, доработке, тестированию и развитию программных и информационных решений.</w:t>
      </w:r>
    </w:p>
    <w:p>
      <w:r>
        <w:rPr>
          <w:color w:val="000000"/>
          <w:sz w:val="21"/>
        </w:rPr>
        <w:t>1.3. Если Задание содержит элементы различных договорных конструкций, к соответствующей части отношений применяются правила, относящиеся к такой части обязательства, с учетом условий Договора и Задания.</w:t>
      </w:r>
    </w:p>
    <w:p>
      <w:r>
        <w:rPr>
          <w:color w:val="000000"/>
          <w:sz w:val="21"/>
        </w:rPr>
        <w:t>1.4. При противоречии между Договором и Заданием применительно к конкретному проекту преимущественную силу имеет Задание, если в нем прямо не указано иное.</w:t>
      </w:r>
    </w:p>
    <w:p>
      <w:r>
        <w:rPr>
          <w:color w:val="000000"/>
          <w:sz w:val="21"/>
        </w:rPr>
        <w:t>1.5. Термин «аудит», если используется в коммерческих материалах или Задании, означает консультационно-аналитическую диагностику и не означает обязательный аудит бухгалтерской (финансовой) отчетности или иную регулируемую аудиторскую деятельность.</w:t>
      </w:r>
    </w:p>
    <w:p>
      <w:pPr>
        <w:pStyle w:val="SectionHeading"/>
        <w:keepNext/>
      </w:pPr>
      <w:r>
        <w:rPr>
          <w:color w:val="000000"/>
          <w:sz w:val="21"/>
        </w:rPr>
        <w:t>2. ПРЕДМЕТ ДОГОВОРА</w:t>
      </w:r>
    </w:p>
    <w:p>
      <w:r>
        <w:rPr>
          <w:color w:val="000000"/>
          <w:sz w:val="21"/>
        </w:rPr>
        <w:t>2.1. Исполнитель обязуется по Заданиям Заказчика оказывать услуги и/или выполнять работы, а Заказчик обязуется обеспечивать необходимые условия взаимодействия, принимать надлежаще оказанные услуги/выполненные работы и оплачивать их.</w:t>
      </w:r>
    </w:p>
    <w:p>
      <w:r>
        <w:rPr>
          <w:color w:val="000000"/>
          <w:sz w:val="21"/>
        </w:rPr>
        <w:t>2.2. Сам по себе Договор не обязывает Заказчика заказывать, а Исполнителя выполнять конкретный объем работ или услуг до согласования соответствующего Задания.</w:t>
      </w:r>
    </w:p>
    <w:p>
      <w:r>
        <w:rPr>
          <w:color w:val="000000"/>
          <w:sz w:val="21"/>
        </w:rPr>
        <w:t>2.3. Исполнитель вправе привлекать работников, экспертов, подрядчиков и иных третьих лиц, оставаясь ответственным перед Заказчиком за надлежащее исполнение принятых обязательств, если Заданием не установлено иное.</w:t>
      </w:r>
    </w:p>
    <w:p>
      <w:pPr>
        <w:pStyle w:val="SectionHeading"/>
        <w:keepNext/>
      </w:pPr>
      <w:r>
        <w:rPr>
          <w:color w:val="000000"/>
          <w:sz w:val="21"/>
        </w:rPr>
        <w:t>3. ПОРЯДОК СОГЛАСОВАНИЯ ЗАДАНИЙ И ГРАНИЦЫ ПРОЕКТА</w:t>
      </w:r>
    </w:p>
    <w:p>
      <w:r>
        <w:rPr>
          <w:color w:val="000000"/>
          <w:sz w:val="21"/>
        </w:rPr>
        <w:t>3.1. Задание считается согласованным после подписания Сторонами, обмена подписанными электронными экземплярами либо иного способа согласования, прямо допускаемого Договором.</w:t>
      </w:r>
    </w:p>
    <w:p>
      <w:r>
        <w:rPr>
          <w:color w:val="000000"/>
          <w:sz w:val="21"/>
        </w:rPr>
        <w:t>3.2. Задание должно позволять определить предмет проекта. При необходимости в нем также фиксируются результат, этапы, сроки, стоимость, порядок оплаты, критерии приемки, состав передаваемых материалов, лицензии, доступы и специальные ограничения.</w:t>
      </w:r>
    </w:p>
    <w:p>
      <w:r>
        <w:rPr>
          <w:color w:val="000000"/>
          <w:sz w:val="21"/>
        </w:rPr>
        <w:t>3.3. Изменение объема проекта, способное повлиять на сроки, трудоемкость или стоимость, оформляется дополнительным соглашением, новой редакцией Задания либо согласованным Сторонами запросом на изменение. До согласования изменения Исполнитель вправе выполнять первоначальный объем.</w:t>
      </w:r>
    </w:p>
    <w:p>
      <w:r>
        <w:rPr>
          <w:color w:val="000000"/>
          <w:sz w:val="21"/>
        </w:rPr>
        <w:t>3.4. Любые работы и услуги, прямо не включенные в соответствующее Задание, являются дополнительными и выполняются после согласования стоимости и сроков. К дополнительным, в частности, могут относиться дополнительные или повторные интервью, анализ новых периодов и массивов данных, включение дополнительных подразделений или юридических лиц, повторная диагностика после изменений, дополнительные презентации и сессии, обучение, внедрение рекомендаций, разработка новых документов, доработка результата вследствие изменения требований Заказчика и иные действия вне согласованного контура.</w:t>
      </w:r>
    </w:p>
    <w:p>
      <w:r>
        <w:rPr>
          <w:color w:val="000000"/>
          <w:sz w:val="21"/>
        </w:rPr>
        <w:t>3.5. Молчание Исполнителя в ответ на запрос о дополнительном объеме не означает согласия выполнить его в первоначальную стоимость.</w:t>
      </w:r>
    </w:p>
    <w:p>
      <w:pPr>
        <w:pStyle w:val="SectionHeading"/>
        <w:keepNext/>
      </w:pPr>
      <w:r>
        <w:rPr>
          <w:color w:val="000000"/>
          <w:sz w:val="21"/>
        </w:rPr>
        <w:t>4. ВЗАИМОДЕЙСТВИЕ И ОБЯЗАННОСТИ ЗАКАЗЧИКА</w:t>
      </w:r>
    </w:p>
    <w:p>
      <w:r>
        <w:rPr>
          <w:color w:val="000000"/>
          <w:sz w:val="21"/>
        </w:rPr>
        <w:t>4.1. Заказчик своевременно предоставляет достоверные и полные сведения, документы, выгрузки, доступы, учетные данные, пояснения и иные материалы, необходимые для проекта, а также назначает уполномоченное контактное лицо.</w:t>
      </w:r>
    </w:p>
    <w:p>
      <w:r>
        <w:rPr>
          <w:color w:val="000000"/>
          <w:sz w:val="21"/>
        </w:rPr>
        <w:t>4.2. Заказчик гарантирует наличие законных оснований для передачи Исполнителю предоставляемых данных, материалов, объектов интеллектуальной собственности и доступов и несет ответственность за нарушение прав третьих лиц, вызванное их передачей или использованием по указанию Заказчика.</w:t>
      </w:r>
    </w:p>
    <w:p>
      <w:r>
        <w:rPr>
          <w:color w:val="000000"/>
          <w:sz w:val="21"/>
        </w:rPr>
        <w:t>4.3. Если Заказчик задерживает данные, доступы, согласования, обратную связь или иные встречные действия, сроки Исполнителя автоматически сдвигаются как минимум на период соответствующей задержки и разумный срок на возобновление работ.</w:t>
      </w:r>
    </w:p>
    <w:p>
      <w:r>
        <w:rPr>
          <w:color w:val="000000"/>
          <w:sz w:val="21"/>
        </w:rPr>
        <w:t>4.4. Исполнитель не отвечает за недостатки результата, обусловленные неполными, недостоверными, противоречивыми или несвоевременно предоставленными исходными данными, если Исполнитель не мог разумно выявить такие недостатки при обычной профессиональной осмотрительности.</w:t>
      </w:r>
    </w:p>
    <w:p>
      <w:r>
        <w:rPr>
          <w:color w:val="000000"/>
          <w:sz w:val="21"/>
        </w:rPr>
        <w:t>4.5. Заказчик обеспечивает резервное копирование критичных данных и систем до предоставления доступа Исполнителю, если иное прямо не включено в Задание.</w:t>
      </w:r>
    </w:p>
    <w:p>
      <w:pPr/>
      <w:r>
        <w:rPr>
          <w:color w:val="000000"/>
          <w:sz w:val="21"/>
        </w:rPr>
        <w:t>4.5.1. Заказчик не передает Исполнителю пароли, токены, ключи доступа и иные учетные данные в объеме, превышающем разумно необходимый для проекта, и по возможности предоставляет отдельные учетные записи с минимально необходимыми правами. Заказчик обязан своевременно отозвать или изменить такие доступы после завершения соответствующих работ.</w:t>
      </w:r>
    </w:p>
    <w:p>
      <w:pPr/>
      <w:r>
        <w:rPr>
          <w:color w:val="000000"/>
          <w:sz w:val="21"/>
        </w:rPr>
        <w:t>4.5.2. Изменения в продуктивных системах Заказчика, способные повлиять на данные, продажи, учет, интеграции или доступность сервисов, выполняются при наличии согласования Заказчика либо в пределах заранее согласованного регламента. Если Заказчик требует выполнить изменение без резервной копии, тестовой среды или иных разумных мер предосторожности вопреки письменному предупреждению Исполнителя, риск последствий такого решения несет Заказчик в части, обусловленной таким требованием.</w:t>
      </w:r>
    </w:p>
    <w:p>
      <w:r>
        <w:rPr>
          <w:color w:val="000000"/>
          <w:sz w:val="21"/>
        </w:rPr>
        <w:lastRenderedPageBreak/>
        <w:t>4.6. Если Заказчик более 10 (десяти) рабочих дней не предоставляет необходимые данные, доступы, согласования, обратную связь или иные встречные действия, Исполнитель вправе перевести соответствующее Задание в статус приостановленного, уведомив Заказчика. Возобновление осуществляется с учетом текущей загрузки Исполнителя; первоначально согласованные календарные даты после такого возобновления не гарантируются и определяются Исполнителем в разумный срок.</w:t>
      </w:r>
    </w:p>
    <w:p>
      <w:r>
        <w:rPr>
          <w:color w:val="000000"/>
          <w:sz w:val="21"/>
        </w:rPr>
        <w:t>4.7. Приостановление по причинам, зависящим от Заказчика, не отменяет обязанность оплатить уже оказанные услуги, выполненные работы, согласованные этапы и фактически понесенные расходы.</w:t>
      </w:r>
    </w:p>
    <w:p>
      <w:pPr>
        <w:pStyle w:val="SectionHeading"/>
        <w:keepNext/>
      </w:pPr>
      <w:r>
        <w:rPr>
          <w:color w:val="000000"/>
          <w:sz w:val="21"/>
        </w:rPr>
        <w:t>5. СТОИМОСТЬ И РАСЧЕТЫ</w:t>
      </w:r>
    </w:p>
    <w:p>
      <w:r>
        <w:rPr>
          <w:color w:val="000000"/>
          <w:sz w:val="21"/>
        </w:rPr>
        <w:t>5.1. Стоимость, валюта цены, этапность и порядок оплаты определяются соответствующим Заданием. Если не указано иное, расчеты осуществляются в рублях Российской Федерации.</w:t>
      </w:r>
    </w:p>
    <w:p>
      <w:r>
        <w:rPr>
          <w:color w:val="000000"/>
          <w:sz w:val="21"/>
        </w:rPr>
        <w:t>5.2. Обязательство по оплате считается исполненным в дату зачисления денежных средств на расчетный счет Исполнителя.</w:t>
      </w:r>
    </w:p>
    <w:p>
      <w:r>
        <w:rPr>
          <w:color w:val="000000"/>
          <w:sz w:val="21"/>
        </w:rPr>
        <w:t>5.3. При просрочке оплаты Исполнитель вправе приостановить исполнение после письменного уведомления Заказчика. Сроки проекта сдвигаются на период просрочки и разумный срок на восстановление проектной команды.</w:t>
      </w:r>
    </w:p>
    <w:p>
      <w:r>
        <w:rPr>
          <w:color w:val="000000"/>
          <w:sz w:val="21"/>
        </w:rPr>
        <w:t>5.4. Комиссии банков и платежных посредников Заказчика оплачиваются Заказчиком.</w:t>
      </w:r>
    </w:p>
    <w:p>
      <w:r>
        <w:rPr>
          <w:color w:val="000000"/>
          <w:sz w:val="21"/>
        </w:rPr>
        <w:t>5.5. Если иное прямо не предусмотрено соответствующим Заданием, согласованная Сторонами стоимость Работ и Услуг является ценой без НДС. На дату заключения Договора Исполнитель применяет упрощенную систему налогообложения и в отношении операций по Договору не предъявляет Заказчику НДС в связи с применяемым освобождением от исполнения обязанностей налогоплательщика НДС. В расчетных и первичных документах до возникновения обязанности по исчислению НДС указывается «Без НДС» либо иная формулировка, соответствующая законодательству Российской Федерации.</w:t>
      </w:r>
    </w:p>
    <w:p>
      <w:r>
        <w:rPr>
          <w:color w:val="000000"/>
          <w:sz w:val="21"/>
        </w:rPr>
        <w:t>5.6. Если после согласования цены у Исполнителя возникает предусмотренная законодательством обязанность исчислять и предъявлять НДС, согласованная цена без НДС не изменяется, а к ней дополнительно начисляется НДС по ставке, которую Исполнитель обязан применять на дату совершения соответствующей операции. Общая сумма к оплате Заказчиком с такой даты равна согласованной цене без НДС плюс сумма НДС. Настоящий порядок является заранее согласованным Сторонами механизмом определения окончательной суммы расчетов при изменении налогового статуса Исполнителя и не требует заключения дополнительного соглашения, если императивными нормами не предусмотрено иное. Исполнитель уведомляет Заказчика о применяемой ставке и дате начала предъявления НДС; счета, акты, УПД и иные документы с указанной даты оформляются с выделением НДС в установленном порядке.</w:t>
      </w:r>
    </w:p>
    <w:p>
      <w:r>
        <w:rPr>
          <w:color w:val="000000"/>
          <w:sz w:val="21"/>
        </w:rPr>
        <w:t>5.7. Если Заданием предусмотрен аванс, Исполнитель вправе не приступать к исполнению до его поступления в полном размере.</w:t>
      </w:r>
    </w:p>
    <w:p>
      <w:pPr/>
      <w:r>
        <w:rPr>
          <w:color w:val="000000"/>
          <w:sz w:val="21"/>
        </w:rPr>
        <w:t>5.8. Если обязанность по исчислению НДС возникает после получения аванса, но до выполнения Работ/оказания Услуг либо в иной ситуации, для которой законодательством установлен специальный порядок определения налоговой базы, Стороны применяют обязательный порядок, действующий на дату соответствующей операции. Заказчик обязуется при необходимости подписать корректирующие первичные документы, если это требуется для надлежащего налогового учета и не изменяет согласованную цену без НДС.</w:t>
      </w:r>
    </w:p>
    <w:p>
      <w:pPr/>
      <w:r>
        <w:rPr>
          <w:color w:val="000000"/>
          <w:sz w:val="21"/>
        </w:rPr>
        <w:t>5.9. При просрочке оплаты более чем на 5 (пять) рабочих дней Исполнитель вправе потребовать неустойку в размере 0,1% от просроченной суммы за каждый календарный день просрочки, но не более 10% такой суммы. Уплата неустойки не освобождает Заказчика от исполнения обязательства по оплате.</w:t>
      </w:r>
    </w:p>
    <w:p>
      <w:pPr>
        <w:pStyle w:val="SectionHeading"/>
        <w:keepNext/>
      </w:pPr>
      <w:r>
        <w:rPr>
          <w:color w:val="000000"/>
          <w:sz w:val="21"/>
        </w:rPr>
        <w:t>6. СДАЧА И ПРИЕМКА</w:t>
      </w:r>
    </w:p>
    <w:p>
      <w:r>
        <w:rPr>
          <w:color w:val="000000"/>
          <w:sz w:val="21"/>
        </w:rPr>
        <w:t>6.1. Результаты и/или отчет об оказанных услугах передаются способом, установленным Заданием: по электронной почте, через облачное хранилище, систему управления проектом, ЭДО либо иным согласованным каналом.</w:t>
      </w:r>
    </w:p>
    <w:p>
      <w:r>
        <w:rPr>
          <w:color w:val="000000"/>
          <w:sz w:val="21"/>
        </w:rPr>
        <w:t>6.2. Если Заданием не установлен иной срок, Заказчик в течение 5 (пяти) рабочих дней с момента передачи результата обязан подписать акт либо направить единый, исчерпывающий и мотивированный перечень конкретных несоответствий условиям Задания.</w:t>
      </w:r>
    </w:p>
    <w:p>
      <w:r>
        <w:rPr>
          <w:color w:val="000000"/>
          <w:sz w:val="21"/>
        </w:rPr>
        <w:t>6.3. При отсутствии в указанный срок подписанного акта или мотивированных замечаний услуги/работы считаются принятыми в полном объеме без замечаний, а обязательство Исполнителя по соответствующему этапу — исполненным. Исполнитель вправе оформить односторонний акт. Доказательствами передачи результата могут являться, в частности, отчет ЭДО, сведения почтового сервера, сообщение из системы управления проектом, ссылка на облачное хранилище, журнал событий информационной системы или иные данные, позволяющие подтвердить направление результата Заказчику.</w:t>
      </w:r>
    </w:p>
    <w:p>
      <w:r>
        <w:rPr>
          <w:color w:val="000000"/>
          <w:sz w:val="21"/>
        </w:rPr>
        <w:t>6.4. Замечания не считаются мотивированными, если основаны на требованиях, отсутствующих в Задании, изменении предпочтений Заказчика после согласования результата, несогласии с профессиональным суждением Исполнителя либо относятся к дополнительному объему.</w:t>
      </w:r>
    </w:p>
    <w:p>
      <w:r>
        <w:rPr>
          <w:color w:val="000000"/>
          <w:sz w:val="21"/>
        </w:rPr>
        <w:t>6.5. Исполнитель устраняет подтвержденные несоответствия согласованному Заданию в разумный срок. Такое устранение не включает изменение исходного объема или создание новых функций.</w:t>
      </w:r>
    </w:p>
    <w:p>
      <w:r>
        <w:rPr>
          <w:color w:val="000000"/>
          <w:sz w:val="21"/>
        </w:rPr>
        <w:t>6.6. Заказчик обязан включить в перечень по п. 6.2 все замечания, которые могли быть выявлены при разумной проверке переданного результата. После устранения таких замечаний повторный отказ от приемки допускается только в отношении неустраненных замечаний либо недостатков, которые объективно не могли быть выявлены при первоначальной приемке.</w:t>
      </w:r>
    </w:p>
    <w:p>
      <w:r>
        <w:rPr>
          <w:color w:val="000000"/>
          <w:sz w:val="21"/>
        </w:rPr>
        <w:t>6.7. Несогласие Заказчика с профессиональным мнением, аналитическими выводами, гипотезами, оценкой рисков, рекомендациями или предложенными вариантами решений само по себе не является недостатком оказанных услуг или основанием для отказа от приемки и оплаты при соответствии результата согласованному составу Задания.</w:t>
      </w:r>
    </w:p>
    <w:p>
      <w:pPr>
        <w:pStyle w:val="SectionHeading"/>
        <w:keepNext/>
      </w:pPr>
      <w:r>
        <w:rPr>
          <w:color w:val="000000"/>
          <w:sz w:val="21"/>
        </w:rPr>
        <w:t>7. СПЕЦИАЛЬНЫЕ УСЛОВИЯ ДЛЯ КОНСАЛТИНГА И ДИАГНОСТИКИ</w:t>
      </w:r>
    </w:p>
    <w:p>
      <w:r>
        <w:rPr>
          <w:color w:val="000000"/>
          <w:sz w:val="21"/>
        </w:rPr>
        <w:t>7.1. Консультационные и аналитические выводы являются профессиональным мнением Исполнителя, сформированным на основании доступной на момент анализа информации и согласованной методики.</w:t>
      </w:r>
    </w:p>
    <w:p>
      <w:r>
        <w:rPr>
          <w:color w:val="000000"/>
          <w:sz w:val="21"/>
        </w:rPr>
        <w:t>7.2. Исполнитель не гарантирует достижение конкретного размера выручки, прибыли, маржинальности, конверсии, экономии, стоимости бизнеса, количества клиентов или иного предпринимательского результата, если такая гарантия прямо не установлена отдельным письменным соглашением.</w:t>
      </w:r>
    </w:p>
    <w:p>
      <w:r>
        <w:rPr>
          <w:color w:val="000000"/>
          <w:sz w:val="21"/>
        </w:rPr>
        <w:t>7.3. Решения о внедрении рекомендаций, управлении персоналом, изменении цен, маркетинговых расходов, бизнес-модели и иных управленческих действиях принимает Заказчик самостоятельно и несет предпринимательский риск таких решений.</w:t>
      </w:r>
    </w:p>
    <w:p>
      <w:r>
        <w:rPr>
          <w:color w:val="000000"/>
          <w:sz w:val="21"/>
        </w:rPr>
        <w:t>7.4. Оценка финансовых потерь, потенциала роста и экономического эффекта является расчетной моделью и гипотезой до подтверждения первичными данными и не является обещанием будущего финансового результата.</w:t>
      </w:r>
    </w:p>
    <w:p>
      <w:r>
        <w:rPr>
          <w:color w:val="000000"/>
          <w:sz w:val="21"/>
        </w:rPr>
        <w:t>7.5. Выводы Исполнителя могут иметь различный уровень подтвержденности: «подтверждено данными», «частично подтверждено», «экспертная гипотеза» или «недостаточно данных» либо эквивалентные обозначения. Уровень подтвержденности зависит от полноты, качества и непротиворечивости доступных исходных данных.</w:t>
      </w:r>
    </w:p>
    <w:p>
      <w:r>
        <w:rPr>
          <w:color w:val="000000"/>
          <w:sz w:val="21"/>
        </w:rPr>
        <w:t>7.6. Невозможность достоверно определить размер финансовых потерь, потенциального эффекта или иной количественный показатель вследствие недостаточности, отсутствия или противоречивости данных не является недостатком услуг, если Исполнитель обозначил соответствующее ограничение в результате.</w:t>
      </w:r>
    </w:p>
    <w:p>
      <w:pPr/>
      <w:r>
        <w:rPr>
          <w:color w:val="000000"/>
          <w:sz w:val="21"/>
        </w:rPr>
        <w:t>7.7. Если иное прямо не предусмотрено отдельным Заданием, материалы Исполнителя не являются юридическим заключением, налоговой консультацией, бухгалтерским аудитом, инвестиционной рекомендацией либо заключением в иной регулируемой сфере. При принятии решений, требующих специальной профессиональной квалификации или допуска, Заказчик самостоятельно привлекает соответствующего специалиста.</w:t>
      </w:r>
    </w:p>
    <w:p>
      <w:pPr>
        <w:pStyle w:val="SectionHeading"/>
        <w:keepNext/>
      </w:pPr>
      <w:r>
        <w:rPr>
          <w:color w:val="000000"/>
          <w:sz w:val="21"/>
        </w:rPr>
        <w:lastRenderedPageBreak/>
        <w:t>8. СПЕЦИАЛЬНЫЕ УСЛОВИЯ ДЛЯ РАЗРАБОТКИ, ИНТЕГРАЦИЙ И ВНЕДРЕНИЯ</w:t>
      </w:r>
    </w:p>
    <w:p>
      <w:r>
        <w:rPr>
          <w:color w:val="000000"/>
          <w:sz w:val="21"/>
        </w:rPr>
        <w:t>8.1. Функциональные требования, состав результата, среда эксплуатации, интеграции, критерии приемки и иные существенные параметры фиксируются в Задании и/или техническом задании.</w:t>
      </w:r>
    </w:p>
    <w:p>
      <w:r>
        <w:rPr>
          <w:color w:val="000000"/>
          <w:sz w:val="21"/>
        </w:rPr>
        <w:t>8.2. Исполнитель не отвечает за сбои, ограничения, изменение API, тарифов, политик, функциональности или прекращение работы сторонних сервисов, платформ, библиотек, моделей искусственного интеллекта и инфраструктуры, находящихся вне контроля Исполнителя.</w:t>
      </w:r>
    </w:p>
    <w:p>
      <w:r>
        <w:rPr>
          <w:color w:val="000000"/>
          <w:sz w:val="21"/>
        </w:rPr>
        <w:t>8.3. Если изменения сторонних систем требуют переработки ранее созданного решения, такая переработка является дополнительной работой, если иное прямо не предусмотрено Заданием.</w:t>
      </w:r>
    </w:p>
    <w:p>
      <w:r>
        <w:rPr>
          <w:color w:val="000000"/>
          <w:sz w:val="21"/>
        </w:rPr>
        <w:t>8.4. Гарантийный срок на исправление воспроизводимых несоответствий согласованным требованиям устанавливается Заданием. При отсутствии такого условия гарантийный срок специально не предоставляется, а дальнейшее сопровождение осуществляется на основании отдельного Задания.</w:t>
      </w:r>
    </w:p>
    <w:p>
      <w:pPr/>
      <w:r>
        <w:rPr>
          <w:color w:val="000000"/>
          <w:sz w:val="21"/>
        </w:rPr>
        <w:t>8.5. Результаты, создаваемые с использованием моделей искусственного интеллекта, вероятностных алгоритмов и сторонних информационных источников, могут содержать неточности и подлежат проверке человеком в случаях, когда на их основе принимаются юридически, финансово, кадрово или иным образом существенные решения. Если Заданием прямо не предусмотрено иное, Исполнитель не гарантирует абсолютную точность, полноту или безошибочность автоматически сформированного контента.</w:t>
      </w:r>
    </w:p>
    <w:p>
      <w:pPr/>
      <w:r>
        <w:rPr>
          <w:color w:val="000000"/>
          <w:sz w:val="21"/>
        </w:rPr>
        <w:t>8.6. Исполнитель не обязан обеспечивать непрерывность работы сторонних API, облачных сервисов, CRM, мессенджеров, маркетплейсов, моделей ИИ и иных внешних систем. Платные тарифы, лицензии, лимиты API и иные расходы третьих лиц оплачиваются Заказчиком, если Заданием прямо не предусмотрено их включение в стоимость.</w:t>
      </w:r>
    </w:p>
    <w:p>
      <w:pPr>
        <w:pStyle w:val="SectionHeading"/>
        <w:keepNext/>
      </w:pPr>
      <w:r>
        <w:rPr>
          <w:color w:val="000000"/>
          <w:sz w:val="21"/>
        </w:rPr>
        <w:t>9. ИНТЕЛЛЕКТУАЛЬНАЯ СОБСТВЕННОСТЬ И МЕТОДОЛОГИЯ</w:t>
      </w:r>
    </w:p>
    <w:p>
      <w:r>
        <w:rPr>
          <w:color w:val="000000"/>
          <w:sz w:val="21"/>
        </w:rPr>
        <w:t>9.1. Исключительные права на ранее созданные Исполнителем методики, шаблоны, библиотеки, программные модули, фреймворки, алгоритмы, ноу-хау, инструменты, универсальные компоненты и иные фоновые разработки («Предшествующие материалы») сохраняются за Исполнителем.</w:t>
      </w:r>
    </w:p>
    <w:p>
      <w:r>
        <w:rPr>
          <w:color w:val="000000"/>
          <w:sz w:val="21"/>
        </w:rPr>
        <w:t>9.2. Права на специально созданный для Заказчика результат определяются соответствующим Заданием. Если Задание предусматривает отчуждение исключительного права, переход такого права происходит только после полной оплаты соответствующего результата, если иное не установлено Заданием.</w:t>
      </w:r>
    </w:p>
    <w:p>
      <w:r>
        <w:rPr>
          <w:color w:val="000000"/>
          <w:sz w:val="21"/>
        </w:rPr>
        <w:t>9.3. Если специально созданный результат включает Предшествующие материалы Исполнителя, Заказчику после полной оплаты предоставляется простая (неисключительная), непередаваемая третьим лицам, если иное не требуется для обычной эксплуатации результата, лицензия на использование таких Предшествующих материалов в составе оплаченного результата на территории всего мира на срок действия исключительного права, без права их самостоятельного отчуждения, перепродажи, публикации исходного кода или использования отдельно от результата, если иное прямо не предусмотрено Заданием. Исключительные права на Предшествующие материалы не отчуждаются.</w:t>
      </w:r>
    </w:p>
    <w:p>
      <w:r>
        <w:rPr>
          <w:color w:val="000000"/>
          <w:sz w:val="21"/>
        </w:rPr>
        <w:t>9.4. Права на стороннее программное обеспечение, open-source компоненты, сервисы, шрифты, данные и иные объекты третьих лиц регулируются условиями соответствующих правообладателей.</w:t>
      </w:r>
    </w:p>
    <w:p>
      <w:r>
        <w:rPr>
          <w:color w:val="000000"/>
          <w:sz w:val="21"/>
        </w:rPr>
        <w:t>9.5. Методология комплексной диагностики, анкеты и системы вопросов, структуры интервью, системы критериев и скоринга, диагностические матрицы, модели финансовых потерь, алгоритмы оценки, чек-листы, структуры отчетов, шаблоны, внутренние инструкции консультанта и иные внутренние рабочие инструменты Исполнителя не передаются Заказчику как исключительное право, если это прямо не указано в Задании.</w:t>
      </w:r>
    </w:p>
    <w:p>
      <w:r>
        <w:rPr>
          <w:color w:val="000000"/>
          <w:sz w:val="21"/>
        </w:rPr>
        <w:t>9.6. Передача Заказчику итоговых материалов не означает передачу исходных рабочих файлов, внутренних расчетных моделей, промптов, библиотек, шаблонов, служебных заметок и иных внутренних инструментов Исполнителя, если обязанность их передачи прямо не предусмотрена соответствующим Заданием.</w:t>
      </w:r>
    </w:p>
    <w:p>
      <w:r>
        <w:rPr>
          <w:color w:val="000000"/>
          <w:sz w:val="21"/>
        </w:rPr>
        <w:t>9.7. Исполнитель вправе использовать накопленные в ходе проекта обобщенные и обезличенные знания, опыт, подходы, статистические закономерности и практики для развития собственных методологий, продуктов и услуг при условии невозможности идентификации Заказчика и нераскрытия его конфиденциальной информации.</w:t>
      </w:r>
    </w:p>
    <w:p>
      <w:pPr>
        <w:pStyle w:val="SectionHeading"/>
        <w:keepNext/>
      </w:pPr>
      <w:r>
        <w:rPr>
          <w:color w:val="000000"/>
          <w:sz w:val="21"/>
        </w:rPr>
        <w:t>10. КОНФИДЕНЦИАЛЬНОСТЬ, ПЕРСОНАЛЬНЫЕ ДАННЫЕ И ПОРТФОЛИО</w:t>
      </w:r>
    </w:p>
    <w:p>
      <w:r>
        <w:rPr>
          <w:color w:val="000000"/>
          <w:sz w:val="21"/>
        </w:rPr>
        <w:t>10.1. Стороны обязуются не раскрывать третьим лицам полученную в связи с проектом непубличную коммерческую, финансовую, техническую и организационную информацию без законного основания или письменного согласия другой Стороны.</w:t>
      </w:r>
    </w:p>
    <w:p>
      <w:r>
        <w:rPr>
          <w:color w:val="000000"/>
          <w:sz w:val="21"/>
        </w:rPr>
        <w:t>10.2. Исполнитель вправе раскрывать конфиденциальную информацию привлеченным к проекту лицам в объеме, необходимом для исполнения, при условии возложения на них обязательств конфиденциальности.</w:t>
      </w:r>
    </w:p>
    <w:p>
      <w:r>
        <w:rPr>
          <w:color w:val="000000"/>
          <w:sz w:val="21"/>
        </w:rPr>
        <w:t>10.3. Обязанность конфиденциальности действует в течение срока Договора и 5 (пяти) лет после прекращения соответствующего Задания. В отношении сведений, составляющих коммерческую тайну или иную охраняемую законом тайну, обязательства действуют в течение срока, установленного законом и/или пока соответствующие сведения сохраняют охраняемый статус.</w:t>
      </w:r>
    </w:p>
    <w:p>
      <w:r>
        <w:rPr>
          <w:color w:val="000000"/>
          <w:sz w:val="21"/>
        </w:rPr>
        <w:t>10.4. Заказчик гарантирует наличие законных оснований для передачи Исполнителю персональных данных и определяет цели, состав и правомерность такой передачи. Если Исполнитель обрабатывает персональные данные по поручению Заказчика, до начала такой обработки Стороны оформляют поручение на обработку персональных данных в объеме, требуемом законодательством, включая перечень персональных данных, перечень операций, цели обработки, требования к конфиденциальности и защите, обязанность соблюдать требования к локализации и иные применимые требования, порядок подтверждения принятых мер, уведомления об инцидентах и прекращения/удаления данных. До оформления такого поручения Заказчик не вправе требовать от Исполнителя систематической обработки персональных данных от имени Заказчика.</w:t>
      </w:r>
    </w:p>
    <w:p>
      <w:r>
        <w:rPr>
          <w:color w:val="000000"/>
          <w:sz w:val="21"/>
        </w:rPr>
        <w:t>10.5. Исполнитель вправе без получения дополнительного согласия Заказчика указывать факт сотрудничества с Заказчиком и его фирменное наименование, а также воспроизводить предоставленное Заказчиком коммерческое обозначение и/или логотип исключительно в целях идентификации Заказчика в портфолио Исполнителя, на сайте, в презентациях, коммерческих предложениях, социальных сетях и иных информационных материалах Исполнителя. Такое использование не дает права раскрывать конфиденциальную информацию, финансовые показатели, коммерческие условия, содержание полученных данных или иные сведения ограниченного доступа. Если соответствующим Заданием прямо установлен запрет на такое использование, Исполнитель не размещает указанные сведения в отношении соответствующего проекта.</w:t>
      </w:r>
    </w:p>
    <w:p>
      <w:r>
        <w:rPr>
          <w:color w:val="000000"/>
          <w:sz w:val="21"/>
        </w:rPr>
        <w:t>10.6. Публикация развернутого кейса с раскрытием конкретных внутренних процессов Заказчика, финансовых показателей, результатов диагностики, коммерческих показателей или иной непубличной информации допускается только в обезличенном виде либо с отдельного письменного согласия Заказчика.</w:t>
      </w:r>
    </w:p>
    <w:p>
      <w:r>
        <w:rPr>
          <w:color w:val="000000"/>
          <w:sz w:val="21"/>
        </w:rPr>
        <w:t>10.7. Если иной срок не установлен законом или Заданием, Исполнитель вправе удалить предоставленные Заказчиком исходные материалы и рабочие копии данных по истечении 90 (девяноста) календарных дней после завершения соответствующего Задания. Исполнитель не обязан обеспечивать архивное хранение таких материалов после указанного срока.</w:t>
      </w:r>
    </w:p>
    <w:p>
      <w:pPr>
        <w:pStyle w:val="SectionHeading"/>
        <w:keepNext/>
      </w:pPr>
      <w:r>
        <w:rPr>
          <w:color w:val="000000"/>
          <w:sz w:val="21"/>
        </w:rPr>
        <w:t>11. ОТВЕТСТВЕННОСТЬ</w:t>
      </w:r>
    </w:p>
    <w:p>
      <w:r>
        <w:rPr>
          <w:color w:val="000000"/>
          <w:sz w:val="21"/>
        </w:rPr>
        <w:t>11.1. Стороны несут ответственность в соответствии с Договором, Заданием и применимым законодательством.</w:t>
      </w:r>
    </w:p>
    <w:p>
      <w:r>
        <w:rPr>
          <w:color w:val="000000"/>
          <w:sz w:val="21"/>
        </w:rPr>
        <w:t>11.2. В максимально допустимой законом степени Исполнитель не отвечает за упущенную выгоду, косвенные, последующие и штрафные убытки, потерю ожидаемой экономии, репутационные потери, потерю данных при отсутствии предусмотренного Договором резервного копирования со стороны Заказчика, а также за последствия действий или бездействия работников, подрядчиков, пользователей и иных лиц Заказчика и решения, принятые Заказчиком на основании рекомендаций Исполнителя.</w:t>
      </w:r>
    </w:p>
    <w:p>
      <w:r>
        <w:rPr>
          <w:color w:val="000000"/>
          <w:sz w:val="21"/>
        </w:rPr>
        <w:lastRenderedPageBreak/>
        <w:t>11.3. Совокупная ответственность Исполнителя по конкретному Заданию, кроме случаев, когда ограничение ответственности прямо запрещено законом, ограничивается суммой вознаграждения, фактически уплаченной Исполнителю по такому Заданию.</w:t>
      </w:r>
    </w:p>
    <w:p>
      <w:r>
        <w:rPr>
          <w:color w:val="000000"/>
          <w:sz w:val="21"/>
        </w:rPr>
        <w:t>11.4. Ограничения настоящего раздела не применяются в той части, в которой их применение недопустимо императивными нормами законодательства, в том числе не устраняют и не ограничивают ответственность за умышленное нарушение обязательства.</w:t>
      </w:r>
    </w:p>
    <w:p>
      <w:r>
        <w:rPr>
          <w:color w:val="000000"/>
          <w:sz w:val="21"/>
        </w:rPr>
        <w:t>11.5. Заказчик обязан незамедлительно уведомить Исполнителя о выявленном нарушении и принять разумные меры по предотвращению или уменьшению возможных убытков.</w:t>
      </w:r>
    </w:p>
    <w:p>
      <w:pPr/>
      <w:r>
        <w:rPr>
          <w:color w:val="000000"/>
          <w:sz w:val="21"/>
        </w:rPr>
        <w:t>11.6. Если третье лицо предъявляет к Исполнителю требования вследствие незаконности материалов, данных, инструкций, доступов или объектов, предоставленных Заказчиком, Заказчик обязан содействовать урегулированию такого требования и возместить Исполнителю документально подтвержденные разумные расходы и убытки в той части, в которой они возникли вследствие нарушения Заказчиком гарантий по пп. 4.2 и 10.4 Договора, кроме случаев, когда соответствующие последствия вызваны виновными действиями самого Исполнителя.</w:t>
      </w:r>
    </w:p>
    <w:p>
      <w:pPr>
        <w:pStyle w:val="SectionHeading"/>
        <w:keepNext/>
      </w:pPr>
      <w:r>
        <w:rPr>
          <w:color w:val="000000"/>
          <w:sz w:val="21"/>
        </w:rPr>
        <w:t>12. ПРИОСТАНОВЛЕНИЕ И ПРЕКРАЩЕНИЕ</w:t>
      </w:r>
    </w:p>
    <w:p>
      <w:r>
        <w:rPr>
          <w:color w:val="000000"/>
          <w:sz w:val="21"/>
        </w:rPr>
        <w:t>12.1. Односторонний отказ от исполнения Договора или отдельного Задания допускается в случаях и порядке, предусмотренных применимым законодательством, с учетом правовой природы соответствующей части обязательств. В части возмездного оказания услуг применяются, в частности, правила статьи 782 ГК РФ; в части работ — применимые правила о подряде, включая статью 717 ГК РФ, если иное допустимо и не согласовано Сторонами. Уведомление направляется в порядке раздела 13 Договора.</w:t>
      </w:r>
    </w:p>
    <w:p>
      <w:r>
        <w:rPr>
          <w:color w:val="000000"/>
          <w:sz w:val="21"/>
        </w:rPr>
        <w:t>12.2. При прекращении Задания Заказчик оплачивает фактически оказанные к дате прекращения услуги, выполненные работы и переданные результаты, а также возмещает фактически понесенные Исполнителем расходы и иные суммы, подлежащие оплате или возмещению в соответствии с законом и соответствующим Заданием.</w:t>
      </w:r>
    </w:p>
    <w:p>
      <w:r>
        <w:rPr>
          <w:color w:val="000000"/>
          <w:sz w:val="21"/>
        </w:rPr>
        <w:t>12.3. Если прекращается Задание или его часть, имеющая характер работ, стоимость фактически выполненной части определяется исходя из цены соответствующих этапов, а при отсутствии этапной цены — пропорционально фактически выполненному объему с учетом трудоемкости и состава результата.</w:t>
      </w:r>
    </w:p>
    <w:p>
      <w:r>
        <w:rPr>
          <w:color w:val="000000"/>
          <w:sz w:val="21"/>
        </w:rPr>
        <w:t>12.4. Исполнитель вправе приостановить исполнение при существенном нарушении Заказчиком обязанностей по оплате, предоставлению данных, доступов, материалов, согласований либо при возникновении обоснованного риска нарушения закона или прав третьих лиц. Сроки проекта соответственно сдвигаются.</w:t>
      </w:r>
    </w:p>
    <w:p>
      <w:r>
        <w:rPr>
          <w:color w:val="000000"/>
          <w:sz w:val="21"/>
        </w:rPr>
        <w:t>12.5. Прекращение одного Задания не прекращает Договор и другие действующие Задания, если Стороны прямо не согласовали иное.</w:t>
      </w:r>
    </w:p>
    <w:p>
      <w:pPr>
        <w:pStyle w:val="SectionHeading"/>
        <w:keepNext/>
      </w:pPr>
      <w:r>
        <w:rPr>
          <w:color w:val="000000"/>
          <w:sz w:val="21"/>
        </w:rPr>
        <w:t>13. ЭЛЕКТРОННОЕ ВЗАИМОДЕЙСТВИЕ</w:t>
      </w:r>
    </w:p>
    <w:p>
      <w:r>
        <w:rPr>
          <w:color w:val="000000"/>
          <w:sz w:val="21"/>
        </w:rPr>
        <w:t>13.1. Стороны признают юридическую силу документов, уведомлений, Заданий, согласований, замечаний и иных сообщений, направленных через ЭДО, а также с согласованных адресов электронной почты. Для документов и сообщений, для которых законом не установлена обязательная иная форма, такой обмен признается Сторонами допустимым способом совершения сделки и простой электронной подписью при условии, что сообщение направлено с согласованного адреса и позволяет достоверно определить отправителя. Иные электронные каналы могут использоваться для оперативного взаимодействия, если Стороны прямо согласовали их в Задании или переписке.</w:t>
      </w:r>
    </w:p>
    <w:p>
      <w:r>
        <w:rPr>
          <w:color w:val="000000"/>
          <w:sz w:val="21"/>
        </w:rPr>
        <w:t>13.2. Скан-копии подписанных документов и документы, подписанные допустимым видом электронной подписи, могут использоваться до обмена оригиналами, если оригиналы необходимы по закону или прямо затребованы Стороной.</w:t>
      </w:r>
    </w:p>
    <w:p>
      <w:r>
        <w:rPr>
          <w:color w:val="000000"/>
          <w:sz w:val="21"/>
        </w:rPr>
        <w:t>13.3. Перечень рабочих адресов электронной почты и контактных лиц может быть указан в Задании. Юридически значимое сообщение считается доставленным в порядке, установленном законодательством Российской Федерации и настоящим Договором, в том числе если оно поступило адресату, но по обстоятельствам, зависящим от него, не было им прочитано или получено фактически. Сторона несет риск неполучения сообщений вследствие несвоевременного уведомления об изменении своих реквизитов или контактов.</w:t>
      </w:r>
    </w:p>
    <w:p>
      <w:pPr>
        <w:pStyle w:val="SectionHeading"/>
        <w:keepNext/>
      </w:pPr>
      <w:r>
        <w:rPr>
          <w:color w:val="000000"/>
          <w:sz w:val="21"/>
        </w:rPr>
        <w:t>14. ФОРС-МАЖОР</w:t>
      </w:r>
    </w:p>
    <w:p>
      <w:r>
        <w:rPr>
          <w:color w:val="000000"/>
          <w:sz w:val="21"/>
        </w:rPr>
        <w:t>14.1. Стороны освобождаются от ответственности за полное или частичное неисполнение либо ненадлежащее исполнение обязательств по Договору и/или соответствующему Заданию, если такое неисполнение явилось непосредственным следствием обстоятельств непреодолимой силы, то есть чрезвычайных и непредотвратимых при данных условиях обстоятельств, возникших после заключения соответствующего Договора или Задания, находящихся вне разумного контроля соответствующей Стороны и объективно препятствующих исполнению соответствующего обязательства.</w:t>
      </w:r>
    </w:p>
    <w:p>
      <w:r>
        <w:rPr>
          <w:color w:val="000000"/>
          <w:sz w:val="21"/>
        </w:rPr>
        <w:t>14.2. К таким обстоятельствам, при наличии предусмотренных законодательством Российской Федерации признаков непреодолимой силы и непосредственной причинно-следственной связи с невозможностью исполнения соответствующего обязательства, могут относиться, в частности: стихийные бедствия, пожары, наводнения, землетрясения и иные чрезвычайные природные явления; эпидемии; военные действия; террористические акты и диверсии; ракетные атаки и атаки беспилотных летательных аппаратов; официально объявленные сигналы ракетной, беспилотной или иной опасности, повлекшие необходимость приостановления деятельности; чрезвычайные ситуации; массовые беспорядки; забастовки; запретительные или ограничительные акты органов государственной власти и местного самоуправления; эмбарго и иные обязательные ограничения, непосредственно препятствующие исполнению обязательства; масштабные аварии систем электроснабжения и связи; глобальные или региональные сбои в работе сети Интернет, систем маршрутизации, DNS, телекоммуникационной инфраструктуры и центров обработки данных, если такие обстоятельства находятся вне разумного контроля соответствующей Стороны и их последствия не могли быть разумно предотвращены или преодолены.</w:t>
      </w:r>
    </w:p>
    <w:p>
      <w:r>
        <w:rPr>
          <w:color w:val="000000"/>
          <w:sz w:val="21"/>
        </w:rPr>
        <w:t>14.3. Само по себе наступление обстоятельства, указанного в п. 14.2 Договора, не освобождает Сторону от ответственности. Сторона, ссылающаяся на обстоятельства непреодолимой силы, обязана доказать наличие непосредственной причинно-следственной связи между таким обстоятельством и невозможностью исполнения конкретного обязательства.</w:t>
      </w:r>
    </w:p>
    <w:p>
      <w:r>
        <w:rPr>
          <w:color w:val="000000"/>
          <w:sz w:val="21"/>
        </w:rPr>
        <w:t>14.4. Не признаются обстоятельствами непреодолимой силы, в частности: отсутствие у Стороны денежных средств; изменение валютного курса; ухудшение финансового положения; отсутствие необходимого товара, оборудования или персонала; нарушение обязательств контрагентами, подрядчиками или поставщиками Стороны; изменение рыночной конъюнктуры; рост стоимости товаров, работ или услуг; а также обычные технические неисправности оборудования или информационных систем Стороны, если соответствующие обстоятельства не являются непосредственным следствием обстоятельств непреодолимой силы.</w:t>
      </w:r>
    </w:p>
    <w:p>
      <w:r>
        <w:rPr>
          <w:color w:val="000000"/>
          <w:sz w:val="21"/>
        </w:rPr>
        <w:t>14.5. Сторона, для которой возникла невозможность исполнения обязательства вследствие обстоятельств непреодолимой силы, обязана уведомить другую Сторону в письменной форме в разумный срок после того, как ей стало известно о наступлении такого обстоятельства, указав его характер, предполагаемое влияние на исполнение обязательств и, если возможно, предполагаемый срок его действия.</w:t>
      </w:r>
    </w:p>
    <w:p>
      <w:r>
        <w:rPr>
          <w:color w:val="000000"/>
          <w:sz w:val="21"/>
        </w:rPr>
        <w:lastRenderedPageBreak/>
        <w:t>14.6. Наличие обстоятельств непреодолимой силы и их влияние на исполнение обязательств подтверждаются документами компетентных государственных органов, торгово-промышленной палаты либо иными допустимыми доказательствами в зависимости от характера соответствующего обстоятельства.</w:t>
      </w:r>
    </w:p>
    <w:p>
      <w:r>
        <w:rPr>
          <w:color w:val="000000"/>
          <w:sz w:val="21"/>
        </w:rPr>
        <w:t>14.7. На период действия обстоятельств непреодолимой силы срок исполнения затронутых ими обязательств продлевается соразмерно периоду действия таких обстоятельств и времени, объективно необходимому для устранения их последствий.</w:t>
      </w:r>
    </w:p>
    <w:p>
      <w:r>
        <w:rPr>
          <w:color w:val="000000"/>
          <w:sz w:val="21"/>
        </w:rPr>
        <w:t>14.8. Если обстоятельства непреодолимой силы продолжаются более 30 (тридцати) календарных дней и существенно препятствуют дальнейшему исполнению соответствующего Задания, каждая из Сторон вправе инициировать его прекращение. В таком случае Заказчик оплачивает фактически выполненные Работы, оказанные Услуги и подлежащие возмещению расходы Исполнителя, возникшие до даты прекращения соответствующего Задания.</w:t>
      </w:r>
    </w:p>
    <w:p>
      <w:pPr>
        <w:pStyle w:val="SectionHeading"/>
        <w:keepNext/>
      </w:pPr>
      <w:r>
        <w:rPr>
          <w:color w:val="000000"/>
          <w:sz w:val="21"/>
        </w:rPr>
        <w:t>15. СРОК, СПОРЫ И ПРОЧИЕ УСЛОВИЯ</w:t>
      </w:r>
    </w:p>
    <w:p>
      <w:r>
        <w:rPr>
          <w:color w:val="000000"/>
          <w:sz w:val="21"/>
        </w:rPr>
        <w:t>15.1. Договор вступает в силу с момента подписания и действует до его прекращения. Завершение срока Договора не прекращает неисполненные обязательства по действующим Заданиям.</w:t>
      </w:r>
    </w:p>
    <w:p>
      <w:r>
        <w:rPr>
          <w:color w:val="000000"/>
          <w:sz w:val="21"/>
        </w:rPr>
        <w:t>15.2. Претензионный порядок обязателен. Срок ответа на претензию — 10 (десять) рабочих дней с даты получения, если иной срок не установлен законом.</w:t>
      </w:r>
    </w:p>
    <w:p>
      <w:r>
        <w:rPr>
          <w:color w:val="000000"/>
          <w:sz w:val="21"/>
        </w:rPr>
        <w:t>15.3. Споры, не урегулированные переговорами и претензионным порядком, подлежат рассмотрению в Арбитражном суде города Москвы, если спор подведомствен арбитражным судам и такая договорная подсудность допустима законодательством Российской Федерации. В иных случаях спор рассматривается компетентным судом в соответствии с правилами подсудности, установленными законодательством Российской Федерации.</w:t>
      </w:r>
    </w:p>
    <w:p>
      <w:r>
        <w:rPr>
          <w:color w:val="000000"/>
          <w:sz w:val="21"/>
        </w:rPr>
        <w:t>15.4. Недействительность отдельного условия не влечет недействительность остальных положений Договора.</w:t>
      </w:r>
    </w:p>
    <w:p>
      <w:r>
        <w:rPr>
          <w:color w:val="000000"/>
          <w:sz w:val="21"/>
        </w:rPr>
        <w:t>15.5. Изменения и дополнения действительны при их согласовании в форме, допускаемой Договором и законодательством.</w:t>
      </w:r>
    </w:p>
    <w:p>
      <w:pPr/>
      <w:r>
        <w:rPr>
          <w:color w:val="000000"/>
          <w:sz w:val="21"/>
        </w:rPr>
        <w:t>15.6. Договор и соответствующее Задание содержат согласованные условия конкретного проекта и заменяют предшествующие договоренности по его предмету в части, в которой такие договоренности им противоречат. Коммерческие презентации, устные обсуждения, демонстрации и предварительные оценки не создают самостоятельных гарантий результата, если прямо не включены в Задание.</w:t>
      </w:r>
    </w:p>
    <w:p>
      <w:pPr/>
      <w:r>
        <w:rPr>
          <w:color w:val="000000"/>
          <w:sz w:val="21"/>
        </w:rPr>
        <w:t>15.7. Договор не создает между Сторонами отношений товарищества, агентирования, представительства, трудовых отношений или совместного предприятия. Ни одна из Сторон не вправе принимать обязательства от имени другой без отдельного письменного полномочия.</w:t>
      </w:r>
    </w:p>
    <w:p>
      <w:pPr>
        <w:pStyle w:val="SectionHeading"/>
        <w:keepNext/>
      </w:pPr>
      <w:r>
        <w:rPr>
          <w:color w:val="000000"/>
          <w:sz w:val="21"/>
        </w:rPr>
        <w:t>16. РЕКВИЗИТЫ И ПОДПИСИ</w:t>
      </w:r>
    </w:p>
    <w:tbl>
      <w:tblPr>
        <w:tblW w:w="0" w:type="auto"/>
        <w:jc w:val="center"/>
        <w:tblLayout w:type="fixed"/>
        <w:tblLook w:val="04A0" w:firstRow="1" w:lastRow="0" w:firstColumn="1" w:lastColumn="0" w:noHBand="0" w:noVBand="1"/>
      </w:tblPr>
      <w:tblGrid>
        <w:gridCol w:w="5170"/>
        <w:gridCol w:w="5170"/>
      </w:tblGrid>
      <w:tr>
        <w:trPr>
          <w:jc w:val="center"/>
          <w:cantSplit/>
        </w:trPr>
        <w:tc>
          <w:tcPr>
            <w:tcW w:w="5170" w:type="dxa"/>
            <w:tcMar>
              <w:top w:w="100" w:type="dxa"/>
              <w:left w:w="110" w:type="dxa"/>
              <w:bottom w:w="100" w:type="dxa"/>
              <w:right w:w="110" w:type="dxa"/>
            </w:tcMar>
          </w:tcPr>
          <w:p>
            <w:pPr>
              <w:spacing w:after="0" w:before="0" w:line="240" w:lineRule="auto"/>
            </w:pPr>
            <w:r>
              <w:rPr>
                <w:color w:val="000000"/>
                <w:sz w:val="18"/>
              </w:rPr>
              <w:t>ИСПОЛНИТЕЛЬ</w:t>
              <w:br/>
              <w:t>ИП Белый Владислав Максимович</w:t>
              <w:br/>
              <w:t>ОГРНИП 323774600178142</w:t>
              <w:br/>
              <w:t>ИНН 772333809099</w:t>
              <w:br/>
              <w:t>Адрес: __________________________</w:t>
              <w:br/>
              <w:t>р/с: ____________________________</w:t>
              <w:br/>
              <w:t>Банк: ___________________________</w:t>
              <w:br/>
              <w:t>БИК: ____________________________</w:t>
              <w:br/>
              <w:t>к/с: ____________________________</w:t>
              <w:br/>
              <w:br/>
              <w:t>________________ / В.М. Белый</w:t>
            </w:r>
          </w:p>
        </w:tc>
        <w:tc>
          <w:tcPr>
            <w:tcW w:w="5170" w:type="dxa"/>
            <w:tcMar>
              <w:top w:w="100" w:type="dxa"/>
              <w:left w:w="110" w:type="dxa"/>
              <w:bottom w:w="100" w:type="dxa"/>
              <w:right w:w="110" w:type="dxa"/>
            </w:tcMar>
          </w:tcPr>
          <w:p>
            <w:pPr>
              <w:spacing w:after="0" w:before="0" w:line="240" w:lineRule="auto"/>
            </w:pPr>
            <w:r>
              <w:rPr>
                <w:b/>
                <w:color w:val="000000"/>
                <w:sz w:val="18"/>
              </w:rPr>
              <w:t>ЗАКАЗЧИК</w:t>
            </w:r>
            <w:r>
              <w:rPr>
                <w:b/>
                <w:color w:val="000000"/>
                <w:sz w:val="18"/>
              </w:rPr>
              <w:br/>
              <w:t>Наименование: __________________________</w:t>
            </w:r>
            <w:r>
              <w:rPr>
                <w:b/>
                <w:color w:val="000000"/>
                <w:sz w:val="18"/>
              </w:rPr>
              <w:br/>
              <w:t>ОГРН/ОГРНИП: __________________________</w:t>
            </w:r>
            <w:r>
              <w:rPr>
                <w:b/>
                <w:color w:val="000000"/>
                <w:sz w:val="18"/>
              </w:rPr>
              <w:br/>
              <w:t>ИНН/КПП: ______________________________</w:t>
            </w:r>
            <w:r>
              <w:rPr>
                <w:b/>
                <w:color w:val="000000"/>
                <w:sz w:val="18"/>
              </w:rPr>
              <w:br/>
              <w:t>Адрес: _________________________________</w:t>
            </w:r>
            <w:r>
              <w:rPr>
                <w:b/>
                <w:color w:val="000000"/>
                <w:sz w:val="18"/>
              </w:rPr>
              <w:br/>
              <w:t>р/с: ___________________________________</w:t>
            </w:r>
            <w:r>
              <w:rPr>
                <w:b/>
                <w:color w:val="000000"/>
                <w:sz w:val="18"/>
              </w:rPr>
              <w:br/>
              <w:t>Банк: __________________________________</w:t>
            </w:r>
            <w:r>
              <w:rPr>
                <w:b/>
                <w:color w:val="000000"/>
                <w:sz w:val="18"/>
              </w:rPr>
              <w:br/>
              <w:t>БИК: ___________________________________</w:t>
            </w:r>
            <w:r>
              <w:rPr>
                <w:b/>
                <w:color w:val="000000"/>
                <w:sz w:val="18"/>
              </w:rPr>
              <w:br/>
              <w:t>к/с: ___________________________________</w:t>
            </w:r>
            <w:r>
              <w:rPr>
                <w:b/>
                <w:color w:val="000000"/>
                <w:sz w:val="18"/>
              </w:rPr>
              <w:br/>
            </w:r>
            <w:r>
              <w:rPr>
                <w:b/>
                <w:color w:val="000000"/>
                <w:sz w:val="18"/>
              </w:rPr>
              <w:br/>
              <w:t>________________ / __________________</w:t>
            </w:r>
          </w:p>
        </w:tc>
      </w:tr>
    </w:tbl>
    <w:p>
      <w:pPr>
        <w:rPr>
          <w:lang w:val="ru-RU"/>
        </w:rPr>
      </w:pPr>
    </w:p>
    <w:sectPr>
      <w:headerReference w:type="default" r:id="rId8"/>
      <w:footerReference w:type="default" r:id="rId9"/>
      <w:pgSz w:w="12240" w:h="15840"/>
      <w:pgMar w:top="822" w:right="907" w:bottom="765"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a7"/>
      <w:jc w:val="center"/>
      <w:rPr>
        <w:lang w:val="ru-RU"/>
      </w:rPr>
    </w:pPr>
    <w:r>
      <w:rPr>
        <w:color w:val="787878"/>
        <w:sz w:val="15"/>
      </w:rPr>
      <w:t>IT</w:t>
    </w:r>
    <w:r>
      <w:rPr>
        <w:color w:val="787878"/>
        <w:sz w:val="15"/>
        <w:lang w:val="ru-RU"/>
      </w:rPr>
      <w:t xml:space="preserve"> </w:t>
    </w:r>
    <w:r>
      <w:rPr>
        <w:color w:val="787878"/>
        <w:sz w:val="15"/>
      </w:rPr>
      <w:t>WHITE</w:t>
    </w:r>
    <w:r>
      <w:rPr>
        <w:color w:val="787878"/>
        <w:sz w:val="15"/>
        <w:lang w:val="ru-RU"/>
      </w:rPr>
      <w:t xml:space="preserve">  •  Рамочный договор выполнения работ и оказания услуг</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pPr>
        <w:spacing w:after="0"/>
      </w:pPr>
      <w:r>
        <w:separator/>
      </w:r>
    </w:p>
  </w:footnote>
  <w:footnote w:type="continuationSeparator" w:id="0">
    <w:p>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a5"/>
      <w:jc w:val="right"/>
    </w:pPr>
    <w:r>
      <w:rPr>
        <w:rFonts w:ascii="Arial" w:hAnsi="Arial"/>
        <w:color w:val="000000"/>
        <w:sz w:val="17"/>
      </w:rPr>
      <w:t>IT WHITE  •  ОБРАЗЕЦ ДЛЯ ОЗНАКОМЛЕНИЯ  •  v2.3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44229041">
    <w:abstractNumId w:val="8"/>
  </w:num>
  <w:num w:numId="2" w16cid:durableId="556208338">
    <w:abstractNumId w:val="6"/>
  </w:num>
  <w:num w:numId="3" w16cid:durableId="2116514761">
    <w:abstractNumId w:val="5"/>
  </w:num>
  <w:num w:numId="4" w16cid:durableId="1248225190">
    <w:abstractNumId w:val="4"/>
  </w:num>
  <w:num w:numId="5" w16cid:durableId="1646205532">
    <w:abstractNumId w:val="7"/>
  </w:num>
  <w:num w:numId="6" w16cid:durableId="1944916292">
    <w:abstractNumId w:val="3"/>
  </w:num>
  <w:num w:numId="7" w16cid:durableId="1988897369">
    <w:abstractNumId w:val="2"/>
  </w:num>
  <w:num w:numId="8" w16cid:durableId="131019605">
    <w:abstractNumId w:val="1"/>
  </w:num>
  <w:num w:numId="9" w16cid:durableId="540165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3AEDF1"/>
  <w14:defaultImageDpi w14:val="300"/>
  <w15:docId w15:val="{7AB2EF0F-D009-F44A-8463-983826AC0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44" w:line="240" w:lineRule="auto"/>
    </w:pPr>
    <w:rPr>
      <w:rFonts w:ascii="Arial" w:hAnsi="Arial"/>
      <w:color w:val="000000"/>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rPr>
      <w:rFonts w:ascii="Arial" w:hAnsi="Arial"/>
      <w:color w:val="000000"/>
    </w:r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rPr>
      <w:rFonts w:ascii="Arial" w:hAnsi="Arial"/>
      <w:color w:val="000000"/>
    </w:r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rPr>
      <w:rFonts w:ascii="Arial" w:hAnsi="Arial"/>
      <w:color w:val="000000"/>
    </w:r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100"/>
      <w:contextualSpacing/>
    </w:pPr>
    <w:rPr>
      <w:rFonts w:asciiTheme="majorHAnsi" w:eastAsiaTheme="majorEastAsia" w:hAnsiTheme="majorHAnsi" w:cstheme="majorBidi" w:ascii="Arial" w:hAnsi="Arial"/>
      <w:b/>
      <w:color w:val="000000"/>
      <w:spacing w:val="5"/>
      <w:kern w:val="28"/>
      <w:sz w:val="30"/>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spacing w:after="100"/>
    </w:pPr>
    <w:rPr>
      <w:rFonts w:asciiTheme="majorHAnsi" w:eastAsiaTheme="majorEastAsia" w:hAnsiTheme="majorHAnsi" w:cstheme="majorBidi" w:ascii="Arial" w:hAnsi="Arial"/>
      <w:b/>
      <w:i/>
      <w:iCs/>
      <w:color w:val="000000"/>
      <w:spacing w:val="15"/>
      <w:sz w:val="21"/>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rPr>
      <w:rFonts w:ascii="Arial" w:hAnsi="Arial"/>
      <w:color w:val="000000"/>
    </w:rPr>
  </w:style>
  <w:style w:type="paragraph" w:styleId="af">
    <w:name w:val="Body Text"/>
    <w:basedOn w:val="a1"/>
    <w:link w:val="af0"/>
    <w:uiPriority w:val="99"/>
    <w:unhideWhenUsed/>
    <w:rsid w:val="00AA1D8D"/>
    <w:pPr>
      <w:spacing w:after="120"/>
    </w:pPr>
    <w:rPr>
      <w:rFonts w:ascii="Arial" w:hAnsi="Arial"/>
      <w:color w:val="000000"/>
    </w:r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rPr>
      <w:rFonts w:ascii="Arial" w:hAnsi="Arial"/>
      <w:color w:val="000000"/>
    </w:r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rFonts w:ascii="Arial" w:hAnsi="Arial"/>
      <w:color w:val="000000"/>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rPr>
      <w:rFonts w:ascii="Arial" w:hAnsi="Arial"/>
      <w:color w:val="000000"/>
    </w:rPr>
  </w:style>
  <w:style w:type="paragraph" w:styleId="25">
    <w:name w:val="List 2"/>
    <w:basedOn w:val="a1"/>
    <w:uiPriority w:val="99"/>
    <w:unhideWhenUsed/>
    <w:rsid w:val="00326F90"/>
    <w:pPr>
      <w:ind w:left="720" w:hanging="360"/>
      <w:contextualSpacing/>
    </w:pPr>
    <w:rPr>
      <w:rFonts w:ascii="Arial" w:hAnsi="Arial"/>
      <w:color w:val="000000"/>
    </w:rPr>
  </w:style>
  <w:style w:type="paragraph" w:styleId="35">
    <w:name w:val="List 3"/>
    <w:basedOn w:val="a1"/>
    <w:uiPriority w:val="99"/>
    <w:unhideWhenUsed/>
    <w:rsid w:val="00326F90"/>
    <w:pPr>
      <w:ind w:left="1080" w:hanging="360"/>
      <w:contextualSpacing/>
    </w:pPr>
    <w:rPr>
      <w:rFonts w:ascii="Arial" w:hAnsi="Arial"/>
      <w:color w:val="000000"/>
    </w:rPr>
  </w:style>
  <w:style w:type="paragraph" w:styleId="a0">
    <w:name w:val="List Bullet"/>
    <w:basedOn w:val="a1"/>
    <w:uiPriority w:val="99"/>
    <w:unhideWhenUsed/>
    <w:rsid w:val="00326F90"/>
    <w:pPr>
      <w:numPr>
        <w:numId w:val="1"/>
      </w:numPr>
      <w:contextualSpacing/>
    </w:pPr>
    <w:rPr>
      <w:rFonts w:ascii="Arial" w:hAnsi="Arial"/>
      <w:color w:val="000000"/>
    </w:rPr>
  </w:style>
  <w:style w:type="paragraph" w:styleId="20">
    <w:name w:val="List Bullet 2"/>
    <w:basedOn w:val="a1"/>
    <w:uiPriority w:val="99"/>
    <w:unhideWhenUsed/>
    <w:rsid w:val="00326F90"/>
    <w:pPr>
      <w:numPr>
        <w:numId w:val="2"/>
      </w:numPr>
      <w:contextualSpacing/>
    </w:pPr>
    <w:rPr>
      <w:rFonts w:ascii="Arial" w:hAnsi="Arial"/>
      <w:color w:val="000000"/>
    </w:rPr>
  </w:style>
  <w:style w:type="paragraph" w:styleId="30">
    <w:name w:val="List Bullet 3"/>
    <w:basedOn w:val="a1"/>
    <w:uiPriority w:val="99"/>
    <w:unhideWhenUsed/>
    <w:rsid w:val="00326F90"/>
    <w:pPr>
      <w:numPr>
        <w:numId w:val="3"/>
      </w:numPr>
      <w:contextualSpacing/>
    </w:pPr>
    <w:rPr>
      <w:rFonts w:ascii="Arial" w:hAnsi="Arial"/>
      <w:color w:val="000000"/>
    </w:rPr>
  </w:style>
  <w:style w:type="paragraph" w:styleId="a">
    <w:name w:val="List Number"/>
    <w:basedOn w:val="a1"/>
    <w:uiPriority w:val="99"/>
    <w:unhideWhenUsed/>
    <w:rsid w:val="00326F90"/>
    <w:pPr>
      <w:numPr>
        <w:numId w:val="5"/>
      </w:numPr>
      <w:contextualSpacing/>
    </w:pPr>
    <w:rPr>
      <w:rFonts w:ascii="Arial" w:hAnsi="Arial"/>
      <w:color w:val="000000"/>
    </w:rPr>
  </w:style>
  <w:style w:type="paragraph" w:styleId="2">
    <w:name w:val="List Number 2"/>
    <w:basedOn w:val="a1"/>
    <w:uiPriority w:val="99"/>
    <w:unhideWhenUsed/>
    <w:rsid w:val="0029639D"/>
    <w:pPr>
      <w:numPr>
        <w:numId w:val="6"/>
      </w:numPr>
      <w:contextualSpacing/>
    </w:pPr>
    <w:rPr>
      <w:rFonts w:ascii="Arial" w:hAnsi="Arial"/>
      <w:color w:val="000000"/>
    </w:rPr>
  </w:style>
  <w:style w:type="paragraph" w:styleId="3">
    <w:name w:val="List Number 3"/>
    <w:basedOn w:val="a1"/>
    <w:uiPriority w:val="99"/>
    <w:unhideWhenUsed/>
    <w:rsid w:val="0029639D"/>
    <w:pPr>
      <w:numPr>
        <w:numId w:val="7"/>
      </w:numPr>
      <w:contextualSpacing/>
    </w:pPr>
    <w:rPr>
      <w:rFonts w:ascii="Arial" w:hAnsi="Arial"/>
      <w:color w:val="000000"/>
    </w:rPr>
  </w:style>
  <w:style w:type="paragraph" w:styleId="af2">
    <w:name w:val="List Continue"/>
    <w:basedOn w:val="a1"/>
    <w:uiPriority w:val="99"/>
    <w:unhideWhenUsed/>
    <w:rsid w:val="0029639D"/>
    <w:pPr>
      <w:spacing w:after="120"/>
      <w:ind w:left="360"/>
      <w:contextualSpacing/>
    </w:pPr>
    <w:rPr>
      <w:rFonts w:ascii="Arial" w:hAnsi="Arial"/>
      <w:color w:val="000000"/>
    </w:rPr>
  </w:style>
  <w:style w:type="paragraph" w:styleId="26">
    <w:name w:val="List Continue 2"/>
    <w:basedOn w:val="a1"/>
    <w:uiPriority w:val="99"/>
    <w:unhideWhenUsed/>
    <w:rsid w:val="0029639D"/>
    <w:pPr>
      <w:spacing w:after="120"/>
      <w:ind w:left="720"/>
      <w:contextualSpacing/>
    </w:pPr>
    <w:rPr>
      <w:rFonts w:ascii="Arial" w:hAnsi="Arial"/>
      <w:color w:val="000000"/>
    </w:rPr>
  </w:style>
  <w:style w:type="paragraph" w:styleId="36">
    <w:name w:val="List Continue 3"/>
    <w:basedOn w:val="a1"/>
    <w:uiPriority w:val="99"/>
    <w:unhideWhenUsed/>
    <w:rsid w:val="0029639D"/>
    <w:pPr>
      <w:spacing w:after="120"/>
      <w:ind w:left="1080"/>
      <w:contextualSpacing/>
    </w:pPr>
    <w:rPr>
      <w:rFonts w:ascii="Arial" w:hAnsi="Arial"/>
      <w:color w:val="000000"/>
    </w:r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rFonts w:ascii="Arial" w:hAnsi="Arial"/>
      <w:i/>
      <w:iCs/>
      <w:color w:val="000000"/>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rFonts w:ascii="Arial" w:hAnsi="Arial"/>
      <w:b/>
      <w:bCs/>
      <w:color w:val="000000"/>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rFonts w:ascii="Arial" w:hAnsi="Arial"/>
      <w:b/>
      <w:bCs/>
      <w:i/>
      <w:iCs/>
      <w:color w:val="000000"/>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rPr>
      <w:rFonts w:ascii="Arial" w:hAnsi="Arial"/>
      <w:color w:val="000000"/>
    </w:r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Heading">
    <w:name w:val="Section Heading"/>
    <w:pPr>
      <w:keepNext/>
      <w:spacing w:before="100" w:after="50"/>
    </w:pPr>
    <w:rPr>
      <w:rFonts w:ascii="Arial" w:hAnsi="Arial"/>
      <w:b/>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5</Pages>
  <Words>3885</Words>
  <Characters>22146</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25980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WHITE — образец рамочного договора</dc:title>
  <dc:subject/>
  <dc:creator/>
  <cp:keywords/>
  <dc:description/>
  <cp:lastModifiedBy/>
  <cp:revision>2</cp:revision>
  <dcterms:created xsi:type="dcterms:W3CDTF">2013-12-23T23:15:00Z</dcterms:created>
  <dcterms:modified xsi:type="dcterms:W3CDTF">2026-08-27T13:21:00Z</dcterms:modified>
  <cp:category/>
</cp:coreProperties>
</file>